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Calibri" w:cs="Calibri" w:eastAsia="Calibri" w:hAnsi="Calibri"/>
          <w:b/>
          <w:bCs/>
          <w:color w:val="1A5276"/>
          <w:sz w:val="30"/>
          <w:szCs w:val="30"/>
        </w:rPr>
        <w:t xml:space="preserve">ADEEL RIAZ</w:t>
      </w:r>
    </w:p>
    <w:p>
      <w:pPr>
        <w:spacing w:after="20"/>
        <w:jc w:val="center"/>
      </w:pPr>
      <w:r>
        <w:rPr>
          <w:rFonts w:ascii="Calibri" w:cs="Calibri" w:eastAsia="Calibri" w:hAnsi="Calibri"/>
          <w:color w:val="717171"/>
          <w:sz w:val="19"/>
          <w:szCs w:val="19"/>
        </w:rPr>
        <w:t xml:space="preserve">Senior Accountant | GL &amp; Sub-Ledger | Month-End Close</w:t>
      </w:r>
    </w:p>
    <w:p>
      <w:pPr>
        <w:pBdr>
          <w:bottom w:val="single" w:color="1A5276" w:sz="4" w:space="4"/>
        </w:pBdr>
        <w:spacing w:after="20"/>
        <w:jc w:val="center"/>
      </w:pPr>
      <w:r>
        <w:rPr>
          <w:rFonts w:ascii="Calibri" w:cs="Calibri" w:eastAsia="Calibri" w:hAnsi="Calibri"/>
          <w:color w:val="999999"/>
          <w:sz w:val="16"/>
          <w:szCs w:val="16"/>
        </w:rPr>
        <w:t xml:space="preserve">adeelriaz919@gmail.com  |  +49 176 2899 0021  |  Berlin, Germany  |  linkedin.com/in/adeel-riaz</w:t>
      </w:r>
    </w:p>
    <w:p>
      <w:pPr>
        <w:pBdr>
          <w:bottom w:val="single" w:color="1A5276" w:sz="3" w:space="2"/>
        </w:pBdr>
        <w:spacing w:after="0" w:before="160"/>
      </w:pPr>
      <w:r>
        <w:rPr>
          <w:rFonts w:ascii="Calibri" w:cs="Calibri" w:eastAsia="Calibri" w:hAnsi="Calibri"/>
          <w:b/>
          <w:bCs/>
          <w:color w:val="1A5276"/>
          <w:sz w:val="19"/>
          <w:szCs w:val="19"/>
        </w:rPr>
        <w:t xml:space="preserve">PROFESSIONAL SUMMARY</w:t>
      </w:r>
    </w:p>
    <w:p>
      <w:pPr>
        <w:spacing w:after="40" w:before="4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Detail-oriented Senior Accountant with 7+ yrs managing full-cycle accounting (GL, AP/AR, VAT, intercompany) in multi-entity environments. Strong month-end close expertise with revenue accruals, reconciliations &amp; audit-ready documentation. Proficient in DATEV, SAP B1, Xentral &amp; Odoo; experienced in process automation via Power Query.</w:t>
      </w:r>
    </w:p>
    <w:p>
      <w:pPr>
        <w:pBdr>
          <w:bottom w:val="single" w:color="1A5276" w:sz="3" w:space="2"/>
        </w:pBdr>
        <w:spacing w:after="0" w:before="160"/>
      </w:pPr>
      <w:r>
        <w:rPr>
          <w:rFonts w:ascii="Calibri" w:cs="Calibri" w:eastAsia="Calibri" w:hAnsi="Calibri"/>
          <w:b/>
          <w:bCs/>
          <w:color w:val="1A5276"/>
          <w:sz w:val="19"/>
          <w:szCs w:val="19"/>
        </w:rPr>
        <w:t xml:space="preserve">CORE COMPETENCIES</w:t>
      </w:r>
    </w:p>
    <w:p>
      <w:pPr>
        <w:spacing w:after="40" w:before="4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GL Accounting  •  AP/AR  •  Month-End Close  •  Revenue Accruals  •  Bank &amp; IC Reconciliation  •  VAT &amp; Tax Compliance  •  DATEV  •  SAP B1  •  Xentral  •  Odoo  •  Collmex  •  Power Query  •  Audit Readiness  •  Cost Allocation  •  PO Processing</w:t>
      </w:r>
    </w:p>
    <w:p>
      <w:pPr>
        <w:pBdr>
          <w:bottom w:val="single" w:color="1A5276" w:sz="3" w:space="2"/>
        </w:pBdr>
        <w:spacing w:after="0" w:before="160"/>
      </w:pPr>
      <w:r>
        <w:rPr>
          <w:rFonts w:ascii="Calibri" w:cs="Calibri" w:eastAsia="Calibri" w:hAnsi="Calibri"/>
          <w:b/>
          <w:bCs/>
          <w:color w:val="1A5276"/>
          <w:sz w:val="19"/>
          <w:szCs w:val="19"/>
        </w:rPr>
        <w:t xml:space="preserve">PROFESSIONAL EXPERIENCE</w:t>
      </w:r>
    </w:p>
    <w:p>
      <w:pPr>
        <w:tabs>
          <w:tab w:val="right" w:pos="9026"/>
        </w:tabs>
        <w:spacing w:after="0" w:before="80"/>
      </w:pPr>
      <w:r>
        <w:rPr>
          <w:rFonts w:ascii="Calibri" w:cs="Calibri" w:eastAsia="Calibri" w:hAnsi="Calibri"/>
          <w:b/>
          <w:bCs/>
          <w:color w:val="212F3D"/>
          <w:sz w:val="18"/>
          <w:szCs w:val="18"/>
        </w:rPr>
        <w:t xml:space="preserve">Account Receivable Manager</w:t>
      </w:r>
      <w:r>
        <w:rPr>
          <w:rFonts w:ascii="Calibri" w:cs="Calibri" w:eastAsia="Calibri" w:hAnsi="Calibri"/>
          <w:color w:val="999999"/>
          <w:sz w:val="17"/>
          <w:szCs w:val="17"/>
        </w:rPr>
        <w:t xml:space="preserve">	02/2026–04/2026</w:t>
      </w:r>
    </w:p>
    <w:p>
      <w:pPr>
        <w:spacing w:after="30" w:before="0"/>
      </w:pPr>
      <w:r>
        <w:rPr>
          <w:rFonts w:ascii="Calibri" w:cs="Calibri" w:eastAsia="Calibri" w:hAnsi="Calibri"/>
          <w:i/>
          <w:iCs/>
          <w:color w:val="717171"/>
          <w:sz w:val="17"/>
          <w:szCs w:val="17"/>
        </w:rPr>
        <w:t xml:space="preserve">Mindspace Germany GmbH</w:t>
      </w:r>
      <w:r>
        <w:rPr>
          <w:rFonts w:ascii="Calibri" w:cs="Calibri" w:eastAsia="Calibri" w:hAnsi="Calibri"/>
          <w:color w:val="999999"/>
          <w:sz w:val="17"/>
          <w:szCs w:val="17"/>
        </w:rPr>
        <w:t xml:space="preserve"> | Berlin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Owned end-to-end AR sub-ledger for multi-location portfolio: invoicing, credit notes, collections &amp; aging reviews.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Executed month-end AR close: revenue accruals, reconciliations &amp; variance reporting to Finance leadership.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Configured customer master data &amp; billing plans in SAP B1; maintained contract terms &amp; payment schedules.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Streamlined collections process — improved cash flow by 30%; reduced overdue balances through proactive dunning.</w:t>
      </w:r>
    </w:p>
    <w:p>
      <w:pPr>
        <w:tabs>
          <w:tab w:val="right" w:pos="9026"/>
        </w:tabs>
        <w:spacing w:after="0" w:before="80"/>
      </w:pPr>
      <w:r>
        <w:rPr>
          <w:rFonts w:ascii="Calibri" w:cs="Calibri" w:eastAsia="Calibri" w:hAnsi="Calibri"/>
          <w:b/>
          <w:bCs/>
          <w:color w:val="212F3D"/>
          <w:sz w:val="18"/>
          <w:szCs w:val="18"/>
        </w:rPr>
        <w:t xml:space="preserve">Senior Accountant / Finance Project Manager</w:t>
      </w:r>
      <w:r>
        <w:rPr>
          <w:rFonts w:ascii="Calibri" w:cs="Calibri" w:eastAsia="Calibri" w:hAnsi="Calibri"/>
          <w:color w:val="999999"/>
          <w:sz w:val="17"/>
          <w:szCs w:val="17"/>
        </w:rPr>
        <w:t xml:space="preserve">	2022–2025</w:t>
      </w:r>
    </w:p>
    <w:p>
      <w:pPr>
        <w:spacing w:after="30" w:before="0"/>
      </w:pPr>
      <w:r>
        <w:rPr>
          <w:rFonts w:ascii="Calibri" w:cs="Calibri" w:eastAsia="Calibri" w:hAnsi="Calibri"/>
          <w:i/>
          <w:iCs/>
          <w:color w:val="717171"/>
          <w:sz w:val="17"/>
          <w:szCs w:val="17"/>
        </w:rPr>
        <w:t xml:space="preserve">Sunday Natural Products GmbH</w:t>
      </w:r>
      <w:r>
        <w:rPr>
          <w:rFonts w:ascii="Calibri" w:cs="Calibri" w:eastAsia="Calibri" w:hAnsi="Calibri"/>
          <w:color w:val="999999"/>
          <w:sz w:val="17"/>
          <w:szCs w:val="17"/>
        </w:rPr>
        <w:t xml:space="preserve"> | Berlin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Managed project accounting cycle: WIP reviews, revenue accruals, reconciliations &amp; P&amp;L variance reporting.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Maintained ERP master data (budgets, cost codes, billing plans); ensured audit-ready project documentation.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Processed subcontractor POs, GRNs &amp; payments; coordinated vendor onboarding with HR, Legal &amp; Procurement.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Monitored spend vs. budget; flagged cost overruns &amp; unbilled time to project managers.</w:t>
      </w:r>
    </w:p>
    <w:p>
      <w:pPr>
        <w:tabs>
          <w:tab w:val="right" w:pos="9026"/>
        </w:tabs>
        <w:spacing w:after="0" w:before="80"/>
      </w:pPr>
      <w:r>
        <w:rPr>
          <w:rFonts w:ascii="Calibri" w:cs="Calibri" w:eastAsia="Calibri" w:hAnsi="Calibri"/>
          <w:b/>
          <w:bCs/>
          <w:color w:val="212F3D"/>
          <w:sz w:val="18"/>
          <w:szCs w:val="18"/>
        </w:rPr>
        <w:t xml:space="preserve">Accountant</w:t>
      </w:r>
      <w:r>
        <w:rPr>
          <w:rFonts w:ascii="Calibri" w:cs="Calibri" w:eastAsia="Calibri" w:hAnsi="Calibri"/>
          <w:color w:val="999999"/>
          <w:sz w:val="17"/>
          <w:szCs w:val="17"/>
        </w:rPr>
        <w:t xml:space="preserve">	2019–2022</w:t>
      </w:r>
    </w:p>
    <w:p>
      <w:pPr>
        <w:spacing w:after="30" w:before="0"/>
      </w:pPr>
      <w:r>
        <w:rPr>
          <w:rFonts w:ascii="Calibri" w:cs="Calibri" w:eastAsia="Calibri" w:hAnsi="Calibri"/>
          <w:i/>
          <w:iCs/>
          <w:color w:val="717171"/>
          <w:sz w:val="17"/>
          <w:szCs w:val="17"/>
        </w:rPr>
        <w:t xml:space="preserve">Soulproducts GmbH</w:t>
      </w:r>
      <w:r>
        <w:rPr>
          <w:rFonts w:ascii="Calibri" w:cs="Calibri" w:eastAsia="Calibri" w:hAnsi="Calibri"/>
          <w:color w:val="999999"/>
          <w:sz w:val="17"/>
          <w:szCs w:val="17"/>
        </w:rPr>
        <w:t xml:space="preserve"> | Berlin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Handled full AP/AR cycle, PO processing, VAT returns, expense accounting &amp; bank/vendor/IC reconciliations.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Produced weekly cash &amp; billing summaries; resolved invoice discrepancies with internal teams &amp; external clients.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Supported cost allocations, project coding &amp; ERP reporting; collaborated cross-functionally to reduce processing time.</w:t>
      </w:r>
    </w:p>
    <w:p>
      <w:pPr>
        <w:pBdr>
          <w:bottom w:val="single" w:color="1A5276" w:sz="3" w:space="2"/>
        </w:pBdr>
        <w:spacing w:after="0" w:before="160"/>
      </w:pPr>
      <w:r>
        <w:rPr>
          <w:rFonts w:ascii="Calibri" w:cs="Calibri" w:eastAsia="Calibri" w:hAnsi="Calibri"/>
          <w:b/>
          <w:bCs/>
          <w:color w:val="1A5276"/>
          <w:sz w:val="19"/>
          <w:szCs w:val="19"/>
        </w:rPr>
        <w:t xml:space="preserve">EDUCATION</w:t>
      </w:r>
    </w:p>
    <w:p>
      <w:pPr>
        <w:tabs>
          <w:tab w:val="right" w:pos="9026"/>
        </w:tabs>
        <w:spacing w:after="0" w:before="50"/>
      </w:pPr>
      <w:r>
        <w:rPr>
          <w:rFonts w:ascii="Calibri" w:cs="Calibri" w:eastAsia="Calibri" w:hAnsi="Calibri"/>
          <w:b/>
          <w:bCs/>
          <w:color w:val="212F3D"/>
          <w:sz w:val="17"/>
          <w:szCs w:val="17"/>
        </w:rPr>
        <w:t xml:space="preserve">M.Sc. Economics &amp; Finance</w:t>
      </w:r>
      <w:r>
        <w:rPr>
          <w:rFonts w:ascii="Calibri" w:cs="Calibri" w:eastAsia="Calibri" w:hAnsi="Calibri"/>
          <w:color w:val="999999"/>
          <w:sz w:val="16"/>
          <w:szCs w:val="16"/>
        </w:rPr>
        <w:t xml:space="preserve">	2016–2019</w:t>
      </w:r>
    </w:p>
    <w:p>
      <w:pPr>
        <w:spacing w:after="10" w:before="0"/>
      </w:pPr>
      <w:r>
        <w:rPr>
          <w:rFonts w:ascii="Calibri" w:cs="Calibri" w:eastAsia="Calibri" w:hAnsi="Calibri"/>
          <w:i/>
          <w:iCs/>
          <w:color w:val="717171"/>
          <w:sz w:val="16"/>
          <w:szCs w:val="16"/>
        </w:rPr>
        <w:t xml:space="preserve">Hochschule Rhein-Waal, Kleve</w:t>
      </w:r>
      <w:r>
        <w:rPr>
          <w:rFonts w:ascii="Calibri" w:cs="Calibri" w:eastAsia="Calibri" w:hAnsi="Calibri"/>
          <w:color w:val="999999"/>
          <w:sz w:val="16"/>
          <w:szCs w:val="16"/>
        </w:rPr>
        <w:t xml:space="preserve"> | Portfolio Risk, Corp. Finance, Managerial Accounting</w:t>
      </w:r>
    </w:p>
    <w:p>
      <w:pPr>
        <w:tabs>
          <w:tab w:val="right" w:pos="9026"/>
        </w:tabs>
        <w:spacing w:after="0" w:before="50"/>
      </w:pPr>
      <w:r>
        <w:rPr>
          <w:rFonts w:ascii="Calibri" w:cs="Calibri" w:eastAsia="Calibri" w:hAnsi="Calibri"/>
          <w:b/>
          <w:bCs/>
          <w:color w:val="212F3D"/>
          <w:sz w:val="17"/>
          <w:szCs w:val="17"/>
        </w:rPr>
        <w:t xml:space="preserve">BBA (Hons.) – Business Administration</w:t>
      </w:r>
      <w:r>
        <w:rPr>
          <w:rFonts w:ascii="Calibri" w:cs="Calibri" w:eastAsia="Calibri" w:hAnsi="Calibri"/>
          <w:color w:val="999999"/>
          <w:sz w:val="16"/>
          <w:szCs w:val="16"/>
        </w:rPr>
        <w:t xml:space="preserve">	2011–2015</w:t>
      </w:r>
    </w:p>
    <w:p>
      <w:pPr>
        <w:spacing w:after="10" w:before="0"/>
      </w:pPr>
      <w:r>
        <w:rPr>
          <w:rFonts w:ascii="Calibri" w:cs="Calibri" w:eastAsia="Calibri" w:hAnsi="Calibri"/>
          <w:i/>
          <w:iCs/>
          <w:color w:val="717171"/>
          <w:sz w:val="16"/>
          <w:szCs w:val="16"/>
        </w:rPr>
        <w:t xml:space="preserve">COMSATS University, Islamabad</w:t>
      </w:r>
      <w:r>
        <w:rPr>
          <w:rFonts w:ascii="Calibri" w:cs="Calibri" w:eastAsia="Calibri" w:hAnsi="Calibri"/>
          <w:color w:val="999999"/>
          <w:sz w:val="16"/>
          <w:szCs w:val="16"/>
        </w:rPr>
        <w:t xml:space="preserve"> | Financial Modeling, Strategic Mgmt, Project Mgmt</w:t>
      </w:r>
    </w:p>
    <w:p>
      <w:pPr>
        <w:pBdr>
          <w:bottom w:val="single" w:color="1A5276" w:sz="3" w:space="2"/>
        </w:pBdr>
        <w:spacing w:after="0" w:before="160"/>
      </w:pPr>
      <w:r>
        <w:rPr>
          <w:rFonts w:ascii="Calibri" w:cs="Calibri" w:eastAsia="Calibri" w:hAnsi="Calibri"/>
          <w:b/>
          <w:bCs/>
          <w:color w:val="1A5276"/>
          <w:sz w:val="19"/>
          <w:szCs w:val="19"/>
        </w:rPr>
        <w:t xml:space="preserve">LANGUAGES</w:t>
      </w:r>
    </w:p>
    <w:p>
      <w:pPr>
        <w:spacing w:after="20" w:before="4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English (Fluent)  |  German (Professional Working)  |  Urdu (Native)</w:t>
      </w:r>
    </w:p>
    <w:sectPr>
      <w:pgSz w:w="11906" w:h="16838" w:orient="portrait"/>
      <w:pgMar w:top="500" w:right="700" w:bottom="5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4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2026-03-31T12:51:24.227Z</dcterms:created>
  <dcterms:modified xsi:type="dcterms:W3CDTF">2026-03-31T12:51:24.227Z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